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0"/>
        <w:rPr>
          <w:rFonts w:ascii="黑体" w:hAnsi="黑体" w:eastAsia="黑体" w:cs="黑体"/>
          <w:bCs/>
          <w:color w:val="000000"/>
          <w:sz w:val="32"/>
          <w:szCs w:val="32"/>
        </w:rPr>
      </w:pPr>
      <w:bookmarkStart w:id="0" w:name="_Toc465001344"/>
      <w:bookmarkStart w:id="1" w:name="_Toc27598"/>
      <w:bookmarkStart w:id="2" w:name="_Toc11394"/>
      <w:bookmarkStart w:id="3" w:name="_Toc465090267"/>
      <w:bookmarkStart w:id="4" w:name="_Toc5300"/>
      <w:r>
        <w:rPr>
          <w:rFonts w:hint="eastAsia" w:ascii="黑体" w:hAnsi="黑体" w:eastAsia="黑体" w:cs="黑体"/>
          <w:bCs/>
          <w:color w:val="000000"/>
          <w:sz w:val="32"/>
          <w:szCs w:val="32"/>
        </w:rPr>
        <w:t>附件</w:t>
      </w:r>
      <w:bookmarkEnd w:id="0"/>
      <w:bookmarkEnd w:id="1"/>
      <w:bookmarkEnd w:id="2"/>
      <w:bookmarkEnd w:id="3"/>
      <w:bookmarkEnd w:id="4"/>
    </w:p>
    <w:p>
      <w:pPr>
        <w:spacing w:line="540" w:lineRule="exact"/>
        <w:jc w:val="center"/>
        <w:rPr>
          <w:rFonts w:ascii="黑体" w:eastAsia="黑体"/>
          <w:b/>
          <w:color w:val="000000"/>
          <w:spacing w:val="40"/>
          <w:sz w:val="44"/>
          <w:szCs w:val="44"/>
        </w:rPr>
      </w:pPr>
    </w:p>
    <w:p>
      <w:pPr>
        <w:spacing w:line="540" w:lineRule="exact"/>
        <w:jc w:val="center"/>
        <w:rPr>
          <w:rFonts w:hint="eastAsia" w:ascii="方正小标宋_GBK" w:eastAsia="方正小标宋_GBK"/>
          <w:color w:val="000000"/>
          <w:spacing w:val="40"/>
          <w:sz w:val="40"/>
          <w:szCs w:val="32"/>
        </w:rPr>
      </w:pPr>
      <w:r>
        <w:rPr>
          <w:rFonts w:hint="eastAsia" w:ascii="方正小标宋_GBK" w:eastAsia="方正小标宋_GBK"/>
          <w:color w:val="000000"/>
          <w:spacing w:val="40"/>
          <w:sz w:val="40"/>
          <w:szCs w:val="32"/>
        </w:rPr>
        <w:t>四大行业</w:t>
      </w:r>
      <w:r>
        <w:rPr>
          <w:rFonts w:hint="eastAsia" w:ascii="方正小标宋_GBK" w:eastAsia="方正小标宋_GBK"/>
          <w:color w:val="000000"/>
          <w:spacing w:val="40"/>
          <w:sz w:val="40"/>
          <w:szCs w:val="32"/>
          <w:vertAlign w:val="superscript"/>
        </w:rPr>
        <w:footnoteReference w:id="0"/>
      </w:r>
      <w:r>
        <w:rPr>
          <w:rFonts w:hint="eastAsia" w:ascii="方正小标宋_GBK" w:eastAsia="方正小标宋_GBK"/>
          <w:color w:val="000000"/>
          <w:spacing w:val="40"/>
          <w:sz w:val="40"/>
          <w:szCs w:val="32"/>
        </w:rPr>
        <w:t>电力用户全电量交易承诺书</w:t>
      </w:r>
    </w:p>
    <w:p>
      <w:pPr>
        <w:spacing w:line="540" w:lineRule="exact"/>
        <w:jc w:val="center"/>
        <w:rPr>
          <w:rFonts w:hint="eastAsia" w:ascii="方正小标宋_GBK" w:eastAsia="方正小标宋_GBK"/>
          <w:color w:val="000000"/>
          <w:spacing w:val="40"/>
          <w:sz w:val="40"/>
          <w:szCs w:val="32"/>
        </w:rPr>
      </w:pPr>
    </w:p>
    <w:p>
      <w:pPr>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u w:val="single"/>
        </w:rPr>
        <w:t>（企业名称）</w:t>
      </w:r>
      <w:r>
        <w:rPr>
          <w:rFonts w:hint="eastAsia" w:ascii="仿宋_GB2312" w:hAnsi="宋体" w:eastAsia="仿宋_GB2312"/>
          <w:color w:val="000000"/>
          <w:sz w:val="32"/>
          <w:szCs w:val="32"/>
        </w:rPr>
        <w:t>，系一家具有</w:t>
      </w:r>
      <w:r>
        <w:rPr>
          <w:rFonts w:hint="eastAsia" w:ascii="仿宋_GB2312" w:hAnsi="宋体" w:eastAsia="仿宋_GB2312"/>
          <w:color w:val="000000"/>
          <w:sz w:val="32"/>
          <w:szCs w:val="32"/>
          <w:u w:val="wave"/>
        </w:rPr>
        <w:t>法人资格</w:t>
      </w:r>
      <w:r>
        <w:rPr>
          <w:rFonts w:ascii="仿宋_GB2312" w:hAnsi="宋体" w:eastAsia="仿宋_GB2312"/>
          <w:color w:val="000000"/>
          <w:sz w:val="32"/>
          <w:szCs w:val="32"/>
        </w:rPr>
        <w:t>/</w:t>
      </w:r>
      <w:r>
        <w:rPr>
          <w:rFonts w:hint="eastAsia" w:ascii="仿宋_GB2312" w:hAnsi="宋体" w:eastAsia="仿宋_GB2312"/>
          <w:color w:val="000000"/>
          <w:sz w:val="32"/>
          <w:szCs w:val="32"/>
          <w:u w:val="wave"/>
        </w:rPr>
        <w:t>经法人单位</w:t>
      </w:r>
      <w:r>
        <w:rPr>
          <w:rFonts w:hint="eastAsia" w:ascii="仿宋_GB2312" w:hAnsi="宋体" w:eastAsia="仿宋_GB2312"/>
          <w:color w:val="000000"/>
          <w:sz w:val="32"/>
          <w:szCs w:val="32"/>
          <w:u w:val="single"/>
        </w:rPr>
        <w:t>授权</w:t>
      </w:r>
      <w:r>
        <w:rPr>
          <w:rFonts w:hint="eastAsia" w:ascii="仿宋_GB2312" w:hAnsi="宋体" w:eastAsia="仿宋_GB2312"/>
          <w:color w:val="000000"/>
          <w:sz w:val="32"/>
          <w:szCs w:val="32"/>
        </w:rPr>
        <w:t>的企业，企业所在地为</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，在</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工商行政管理机构登记注册</w:t>
      </w:r>
      <w:r>
        <w:rPr>
          <w:rFonts w:ascii="仿宋_GB2312" w:hAnsi="宋体" w:eastAsia="仿宋_GB2312"/>
          <w:color w:val="000000"/>
          <w:sz w:val="32"/>
          <w:szCs w:val="32"/>
        </w:rPr>
        <w:t>,</w:t>
      </w:r>
      <w:r>
        <w:rPr>
          <w:rFonts w:hint="eastAsia" w:ascii="仿宋_GB2312" w:hAnsi="宋体" w:eastAsia="仿宋_GB2312"/>
          <w:color w:val="000000"/>
          <w:sz w:val="32"/>
          <w:szCs w:val="32"/>
        </w:rPr>
        <w:t>统一社会信用代码：</w:t>
      </w:r>
      <w:r>
        <w:rPr>
          <w:rFonts w:hint="eastAsia" w:ascii="仿宋_GB2312" w:hAnsi="宋体" w:eastAsia="仿宋_GB2312"/>
          <w:color w:val="000000"/>
          <w:sz w:val="32"/>
          <w:szCs w:val="32"/>
          <w:u w:val="single"/>
        </w:rPr>
        <w:t xml:space="preserve">    </w:t>
      </w:r>
      <w:bookmarkStart w:id="5" w:name="_GoBack"/>
      <w:bookmarkEnd w:id="5"/>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，住所：</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wave"/>
        </w:rPr>
        <w:t>法定代表人</w:t>
      </w:r>
      <w:r>
        <w:rPr>
          <w:rFonts w:ascii="仿宋_GB2312" w:hAnsi="宋体" w:eastAsia="仿宋_GB2312"/>
          <w:color w:val="000000"/>
          <w:sz w:val="32"/>
          <w:szCs w:val="32"/>
        </w:rPr>
        <w:t>/</w:t>
      </w:r>
      <w:r>
        <w:rPr>
          <w:rFonts w:hint="eastAsia" w:ascii="仿宋_GB2312" w:hAnsi="宋体" w:eastAsia="仿宋_GB2312"/>
          <w:color w:val="000000"/>
          <w:sz w:val="32"/>
          <w:szCs w:val="32"/>
          <w:u w:val="wave"/>
        </w:rPr>
        <w:t>授权代理人</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w:t>
      </w:r>
    </w:p>
    <w:p>
      <w:pPr>
        <w:spacing w:line="540" w:lineRule="exact"/>
        <w:ind w:firstLine="641"/>
        <w:rPr>
          <w:rFonts w:ascii="仿宋_GB2312" w:hAnsi="宋体" w:eastAsia="仿宋_GB2312"/>
          <w:b/>
          <w:color w:val="000000"/>
          <w:sz w:val="32"/>
          <w:szCs w:val="32"/>
        </w:rPr>
      </w:pPr>
      <w:r>
        <w:rPr>
          <w:rFonts w:hint="eastAsia" w:ascii="仿宋_GB2312" w:hAnsi="宋体" w:eastAsia="仿宋_GB2312"/>
          <w:b/>
          <w:color w:val="000000"/>
          <w:sz w:val="32"/>
          <w:szCs w:val="32"/>
        </w:rPr>
        <w:t>本企业严格遵循安徽省电力市场准入条件、交易规则及相关管理办法，遵循平等、自愿、公平和诚信的原则，并作出如下承诺：</w:t>
      </w:r>
    </w:p>
    <w:p>
      <w:pPr>
        <w:numPr>
          <w:ilvl w:val="0"/>
          <w:numId w:val="1"/>
        </w:numPr>
        <w:spacing w:line="540" w:lineRule="exact"/>
        <w:ind w:firstLine="641"/>
        <w:jc w:val="left"/>
        <w:rPr>
          <w:rFonts w:ascii="仿宋_GB2312" w:hAnsi="宋体" w:eastAsia="仿宋_GB2312"/>
          <w:color w:val="000000"/>
          <w:sz w:val="32"/>
          <w:szCs w:val="32"/>
        </w:rPr>
      </w:pPr>
      <w:r>
        <w:rPr>
          <w:rFonts w:hint="eastAsia" w:ascii="仿宋_GB2312" w:hAnsi="宋体" w:eastAsia="仿宋_GB2312"/>
          <w:color w:val="000000"/>
          <w:sz w:val="32"/>
          <w:szCs w:val="32"/>
        </w:rPr>
        <w:t>本企业在安徽省</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市</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县（区）拥有并经营管理一家用电电压等级为</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千伏（</w:t>
      </w:r>
      <w:r>
        <w:rPr>
          <w:rFonts w:ascii="仿宋_GB2312" w:hAnsi="宋体" w:eastAsia="仿宋_GB2312"/>
          <w:color w:val="000000"/>
          <w:sz w:val="32"/>
          <w:szCs w:val="32"/>
        </w:rPr>
        <w:t>kV），总用电容量为</w:t>
      </w:r>
      <w:r>
        <w:rPr>
          <w:rFonts w:hint="eastAsia" w:ascii="仿宋_GB2312" w:hAnsi="宋体" w:eastAsia="仿宋_GB2312"/>
          <w:color w:val="000000"/>
          <w:sz w:val="32"/>
          <w:szCs w:val="32"/>
        </w:rPr>
        <w:br w:type="textWrapping"/>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兆瓦（</w:t>
      </w:r>
      <w:r>
        <w:rPr>
          <w:rFonts w:ascii="仿宋_GB2312" w:hAnsi="宋体" w:eastAsia="仿宋_GB2312"/>
          <w:color w:val="000000"/>
          <w:sz w:val="32"/>
          <w:szCs w:val="32"/>
        </w:rPr>
        <w:t>MW</w:t>
      </w:r>
      <w:r>
        <w:rPr>
          <w:rFonts w:hint="eastAsia" w:ascii="仿宋_GB2312" w:hAnsi="宋体" w:eastAsia="仿宋_GB2312"/>
          <w:color w:val="000000"/>
          <w:sz w:val="32"/>
          <w:szCs w:val="32"/>
        </w:rPr>
        <w:t>）或变压器容量为</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兆伏安（</w:t>
      </w:r>
      <w:r>
        <w:rPr>
          <w:rFonts w:ascii="仿宋_GB2312" w:hAnsi="宋体" w:eastAsia="仿宋_GB2312"/>
          <w:color w:val="000000"/>
          <w:sz w:val="32"/>
          <w:szCs w:val="32"/>
        </w:rPr>
        <w:t>MVA</w:t>
      </w:r>
      <w:r>
        <w:rPr>
          <w:rFonts w:hint="eastAsia" w:ascii="仿宋_GB2312" w:hAnsi="宋体" w:eastAsia="仿宋_GB2312"/>
          <w:color w:val="000000"/>
          <w:sz w:val="32"/>
          <w:szCs w:val="32"/>
        </w:rPr>
        <w:t>）的用电企业。本企业作为电力用户，拥有以下行业类别的用电户号</w:t>
      </w:r>
      <w:r>
        <w:rPr>
          <w:rFonts w:ascii="仿宋_GB2312" w:hAnsi="宋体" w:eastAsia="仿宋_GB2312"/>
          <w:color w:val="000000"/>
          <w:sz w:val="32"/>
          <w:szCs w:val="32"/>
          <w:vertAlign w:val="superscript"/>
        </w:rPr>
        <w:footnoteReference w:id="1"/>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□煤炭开采和洗选业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□铁矿采选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□钢铁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□炼钢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□炼铁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□钢压延加工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□铁合金冶炼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□有色金属冶炼和压延加工业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□有色金属矿采选业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□水泥制造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□水泥、石灰和石膏制造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□砖瓦、石材等建筑材料制造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□建筑陶瓷制品制造          户号</w:t>
      </w:r>
      <w:r>
        <w:rPr>
          <w:rFonts w:hint="eastAsia" w:ascii="仿宋_GB2312" w:hAnsi="宋体" w:eastAsia="仿宋_GB2312"/>
          <w:color w:val="000000"/>
          <w:sz w:val="32"/>
          <w:szCs w:val="32"/>
          <w:u w:val="single"/>
        </w:rPr>
        <w:t xml:space="preserve">                       </w:t>
      </w:r>
    </w:p>
    <w:p>
      <w:pPr>
        <w:spacing w:line="54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符合四大行业市场主体准入条件，自愿</w:t>
      </w:r>
      <w:r>
        <w:rPr>
          <w:rFonts w:hint="eastAsia" w:ascii="仿宋_GB2312" w:hAnsi="宋体" w:eastAsia="仿宋_GB2312"/>
          <w:b/>
          <w:bCs/>
          <w:color w:val="000000"/>
          <w:sz w:val="32"/>
          <w:szCs w:val="32"/>
        </w:rPr>
        <w:t>全电量</w:t>
      </w:r>
      <w:r>
        <w:rPr>
          <w:rFonts w:hint="eastAsia" w:ascii="仿宋_GB2312" w:hAnsi="宋体" w:eastAsia="仿宋_GB2312"/>
          <w:color w:val="000000"/>
          <w:sz w:val="32"/>
          <w:szCs w:val="32"/>
        </w:rPr>
        <w:t>进入电力市场，通过</w:t>
      </w:r>
      <w:r>
        <w:rPr>
          <w:rFonts w:hint="eastAsia" w:ascii="仿宋_GB2312" w:eastAsia="仿宋_GB2312"/>
          <w:color w:val="000000"/>
          <w:sz w:val="32"/>
          <w:szCs w:val="32"/>
        </w:rPr>
        <w:t>安徽电力交易中心有限公司（以下简称交易中心）</w:t>
      </w:r>
      <w:r>
        <w:rPr>
          <w:rFonts w:hint="eastAsia" w:ascii="仿宋_GB2312" w:hAnsi="宋体" w:eastAsia="仿宋_GB2312"/>
          <w:color w:val="000000"/>
          <w:sz w:val="32"/>
          <w:szCs w:val="32"/>
        </w:rPr>
        <w:t>参与电力交易。</w:t>
      </w:r>
    </w:p>
    <w:p>
      <w:pPr>
        <w:spacing w:line="540" w:lineRule="exact"/>
        <w:ind w:firstLine="641"/>
        <w:jc w:val="left"/>
        <w:rPr>
          <w:rFonts w:ascii="仿宋_GB2312" w:hAnsi="宋体" w:eastAsia="仿宋_GB2312"/>
          <w:color w:val="000000"/>
          <w:sz w:val="32"/>
          <w:szCs w:val="32"/>
        </w:rPr>
      </w:pPr>
      <w:r>
        <w:rPr>
          <w:rFonts w:hint="eastAsia" w:ascii="仿宋_GB2312" w:hAnsi="宋体" w:eastAsia="仿宋_GB2312"/>
          <w:b/>
          <w:color w:val="000000"/>
          <w:sz w:val="32"/>
          <w:szCs w:val="32"/>
        </w:rPr>
        <w:t>第二条</w:t>
      </w:r>
      <w:r>
        <w:rPr>
          <w:rFonts w:hint="eastAsia" w:ascii="仿宋_GB2312" w:hAnsi="宋体" w:eastAsia="仿宋_GB2312"/>
          <w:color w:val="000000"/>
          <w:sz w:val="32"/>
          <w:szCs w:val="32"/>
        </w:rPr>
        <w:t xml:space="preserve"> 本企业自愿以全部电量进入电力市场，3年内不退出市场，取消执行目录电价，主动承担企业自身用电管理工作，主动缴纳偏差电费等相关费用。</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第三条 </w:t>
      </w:r>
      <w:r>
        <w:rPr>
          <w:rFonts w:hint="eastAsia" w:ascii="仿宋_GB2312" w:hAnsi="宋体" w:eastAsia="仿宋_GB2312"/>
          <w:color w:val="000000"/>
          <w:sz w:val="32"/>
          <w:szCs w:val="32"/>
        </w:rPr>
        <w:t>本企业对向交易中心提供的承诺信息、公示信息、注册信息的准确性、完整性负责，并严格践行承诺。</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第四条 </w:t>
      </w:r>
      <w:r>
        <w:rPr>
          <w:rFonts w:hint="eastAsia" w:ascii="仿宋_GB2312" w:hAnsi="宋体" w:eastAsia="仿宋_GB2312"/>
          <w:color w:val="000000"/>
          <w:sz w:val="32"/>
          <w:szCs w:val="32"/>
        </w:rPr>
        <w:t>在作出承诺前本企业已仔细研读了相关交易规则及相关管理文件，已知悉参与交易中心组织的电力交易应负的责任和可能发生的风险，将严格按照该办法和国家相关文件规定从事交易活动。</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第五条 </w:t>
      </w:r>
      <w:r>
        <w:rPr>
          <w:rFonts w:hint="eastAsia" w:ascii="仿宋_GB2312" w:hAnsi="宋体" w:eastAsia="仿宋_GB2312"/>
          <w:color w:val="000000"/>
          <w:sz w:val="32"/>
          <w:szCs w:val="32"/>
        </w:rPr>
        <w:t>本企业被强制退出或者自愿退出市场时，按合同约定承担相应违约责任，执行保底电价。</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第六条 </w:t>
      </w:r>
      <w:r>
        <w:rPr>
          <w:rFonts w:hint="eastAsia" w:ascii="仿宋_GB2312" w:hAnsi="宋体" w:eastAsia="仿宋_GB2312"/>
          <w:color w:val="000000"/>
          <w:sz w:val="32"/>
          <w:szCs w:val="32"/>
        </w:rPr>
        <w:t>本企业承认相关交易规则和国家相关文件赋予交易中心的权利实为市场运营之必需，并承诺自愿承担对交易中心行使前述权利可能出现的全部风险。如交易情况异常，交易中心有权采取相应的风险管理措施，包括但不限于发布交易规则临时条款、对有疑义的交易结果暂停执行、停市等。</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第七条 </w:t>
      </w:r>
      <w:r>
        <w:rPr>
          <w:rFonts w:hint="eastAsia" w:ascii="仿宋_GB2312" w:hAnsi="宋体" w:eastAsia="仿宋_GB2312"/>
          <w:color w:val="000000"/>
          <w:sz w:val="32"/>
          <w:szCs w:val="32"/>
        </w:rPr>
        <w:t>本企业自愿采用交易中心提供的电子交易平台，自行保存和修改账号密码。交易帐号和初始密码一经使用，即视为企业自身的行为，使用账号和交易密码所完成的一切交易，均视为企业自身的行为，由企业自行承担一切交易后果。交易中心已提醒本企业自领到初始密码后立即更改，并注意密码的保存、保密，如因密码保管不妥或未更改初始密码引发的一切损失由本企业承担。</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第八条</w:t>
      </w:r>
      <w:r>
        <w:rPr>
          <w:rFonts w:hint="eastAsia" w:ascii="仿宋_GB2312" w:hAnsi="宋体" w:eastAsia="仿宋_GB2312"/>
          <w:color w:val="000000"/>
          <w:sz w:val="32"/>
          <w:szCs w:val="32"/>
        </w:rPr>
        <w:t xml:space="preserve"> 按照国家发改委、国家能源局《关于印发电力体制改革配套文件的通知》（发改经体〔2015〕2752号）文件要求，为确保交易过程安全，防止交易数据被截取、篡改、顶替申报，规避网络安全风险，要求企业在交易过程中必须使用第三方数字证书。企业可购买使用第三方数字证书，自行保存和修改数字证书密码，在正确使用数字证书的情况下，由该第三方提供账户安全保障，若因未使用数字证书导致的安全问题，由企业自行承担。</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第九条 </w:t>
      </w:r>
      <w:r>
        <w:rPr>
          <w:rFonts w:hint="eastAsia" w:ascii="仿宋_GB2312" w:hAnsi="宋体" w:eastAsia="仿宋_GB2312"/>
          <w:color w:val="000000"/>
          <w:sz w:val="32"/>
          <w:szCs w:val="32"/>
        </w:rPr>
        <w:t>本企业所选择的代理人（包括开户代理人、报价员）在企业授权范围内所作出的任何行为均代表企业自身行为，本企业承担由此产生的全部责任。如变更代理人，应书面通知交易中心并经交易中心确认，企业的法定代表人或者负责人应在变更通知单上签字并加盖单位公章。未及时通知交易中心的，由此造成的损失由企业自行承担。</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第十条 </w:t>
      </w:r>
      <w:r>
        <w:rPr>
          <w:rFonts w:hint="eastAsia" w:ascii="仿宋_GB2312" w:hAnsi="宋体" w:eastAsia="仿宋_GB2312"/>
          <w:color w:val="000000"/>
          <w:sz w:val="32"/>
          <w:szCs w:val="32"/>
        </w:rPr>
        <w:t>本企业通过交易中心提供的电子交易平台进行交易，自行承担一切交易风险。</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第十一条 </w:t>
      </w:r>
      <w:r>
        <w:rPr>
          <w:rFonts w:hint="eastAsia" w:ascii="仿宋_GB2312" w:hAnsi="宋体" w:eastAsia="仿宋_GB2312"/>
          <w:color w:val="000000"/>
          <w:sz w:val="32"/>
          <w:szCs w:val="32"/>
        </w:rPr>
        <w:t>本企业向交易中心提供市场规则规定的及开展电力交易所需的计量及其他相关信息，交易中心对本企业的委托事项、交易记录及提交的信息等资料负有保密义务，如非法定有权机关或本企业同意，不得向第三人泄露。</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第十二条 </w:t>
      </w:r>
      <w:r>
        <w:rPr>
          <w:rFonts w:hint="eastAsia" w:ascii="仿宋_GB2312" w:hAnsi="宋体" w:eastAsia="仿宋_GB2312"/>
          <w:color w:val="000000"/>
          <w:sz w:val="32"/>
          <w:szCs w:val="32"/>
        </w:rPr>
        <w:t>本企业参与交易中心组织的交易时，必须了解和掌握相关交易的管理制度及交易规则，并随时关注交易规则的调整。</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第十三条 </w:t>
      </w:r>
      <w:r>
        <w:rPr>
          <w:rFonts w:hint="eastAsia" w:ascii="仿宋_GB2312" w:hAnsi="宋体" w:eastAsia="仿宋_GB2312"/>
          <w:color w:val="000000"/>
          <w:sz w:val="32"/>
          <w:szCs w:val="32"/>
        </w:rPr>
        <w:t>交易中心向本企业提供的各种信息及资料仅作为交易参考，本企业应对信息进行独立分析、判断，并据此进行的交易风险自担。</w:t>
      </w:r>
    </w:p>
    <w:p>
      <w:pPr>
        <w:spacing w:line="540" w:lineRule="exact"/>
        <w:ind w:firstLine="641"/>
        <w:rPr>
          <w:rFonts w:ascii="仿宋_GB2312" w:hAnsi="宋体" w:eastAsia="仿宋_GB2312"/>
          <w:color w:val="000000"/>
          <w:sz w:val="32"/>
          <w:szCs w:val="32"/>
        </w:rPr>
      </w:pPr>
      <w:r>
        <w:rPr>
          <w:rFonts w:hint="eastAsia" w:ascii="仿宋_GB2312" w:hAnsi="宋体" w:eastAsia="仿宋_GB2312"/>
          <w:b/>
          <w:color w:val="000000"/>
          <w:sz w:val="32"/>
          <w:szCs w:val="32"/>
        </w:rPr>
        <w:t xml:space="preserve">第十四条 </w:t>
      </w:r>
      <w:r>
        <w:rPr>
          <w:rFonts w:hint="eastAsia" w:ascii="仿宋_GB2312" w:hAnsi="宋体" w:eastAsia="仿宋_GB2312"/>
          <w:color w:val="000000"/>
          <w:sz w:val="32"/>
          <w:szCs w:val="32"/>
        </w:rPr>
        <w:t>如本企业违反相关交易规则、管理办法和市场规则，交易中心有权取消本企业交易资格。</w:t>
      </w:r>
    </w:p>
    <w:p>
      <w:pPr>
        <w:spacing w:line="540" w:lineRule="exact"/>
        <w:ind w:firstLine="641"/>
        <w:rPr>
          <w:rFonts w:ascii="仿宋_GB2312" w:hAnsi="宋体" w:eastAsia="仿宋_GB2312"/>
          <w:bCs/>
          <w:color w:val="000000"/>
          <w:sz w:val="32"/>
          <w:szCs w:val="32"/>
        </w:rPr>
      </w:pPr>
      <w:r>
        <w:rPr>
          <w:rFonts w:hint="eastAsia" w:ascii="仿宋_GB2312" w:hAnsi="宋体" w:eastAsia="仿宋_GB2312"/>
          <w:b/>
          <w:color w:val="000000"/>
          <w:sz w:val="32"/>
          <w:szCs w:val="32"/>
        </w:rPr>
        <w:t xml:space="preserve">第十五条 </w:t>
      </w:r>
      <w:r>
        <w:rPr>
          <w:rFonts w:hint="eastAsia" w:ascii="仿宋_GB2312" w:hAnsi="宋体" w:eastAsia="仿宋_GB2312"/>
          <w:bCs/>
          <w:color w:val="000000"/>
          <w:sz w:val="32"/>
          <w:szCs w:val="32"/>
        </w:rPr>
        <w:t>本企业自愿接受政府监管部门的依法检查，发生违法违规行为，接受政府执法部门及其授权机构依照有关法律、行政法规规定给予的行政处罚，并依法承担赔偿责任。</w:t>
      </w:r>
    </w:p>
    <w:p>
      <w:pPr>
        <w:spacing w:line="540" w:lineRule="exact"/>
        <w:ind w:firstLine="641"/>
        <w:rPr>
          <w:rFonts w:ascii="仿宋_GB2312" w:hAnsi="宋体" w:eastAsia="仿宋_GB2312"/>
          <w:bCs/>
          <w:color w:val="000000"/>
          <w:sz w:val="32"/>
          <w:szCs w:val="32"/>
        </w:rPr>
      </w:pPr>
      <w:r>
        <w:rPr>
          <w:rFonts w:hint="eastAsia" w:ascii="仿宋_GB2312" w:hAnsi="宋体" w:eastAsia="仿宋_GB2312"/>
          <w:b/>
          <w:color w:val="000000"/>
          <w:sz w:val="32"/>
          <w:szCs w:val="32"/>
        </w:rPr>
        <w:t xml:space="preserve">第十六条 </w:t>
      </w:r>
      <w:r>
        <w:rPr>
          <w:rFonts w:hint="eastAsia" w:ascii="仿宋_GB2312" w:hAnsi="宋体" w:eastAsia="仿宋_GB2312"/>
          <w:bCs/>
          <w:color w:val="000000"/>
          <w:sz w:val="32"/>
          <w:szCs w:val="32"/>
        </w:rPr>
        <w:t>本企业严格执行国家、省级政府或政府相关部门、监管机构、电力交易机构制定的各项制度、规则，保证诚实守信、遵纪守法，积极履行企业社会责任和职责义务。本企业及其负责人无不良信用记录。</w:t>
      </w:r>
    </w:p>
    <w:p>
      <w:pPr>
        <w:spacing w:line="540" w:lineRule="exact"/>
        <w:ind w:firstLine="641"/>
        <w:rPr>
          <w:rFonts w:ascii="仿宋_GB2312" w:hAnsi="宋体" w:eastAsia="仿宋_GB2312"/>
          <w:color w:val="000000"/>
          <w:sz w:val="32"/>
          <w:szCs w:val="32"/>
        </w:rPr>
      </w:pPr>
    </w:p>
    <w:p>
      <w:pPr>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以上承诺如有违反，本企业愿意承担相应责任，并接受处罚和相关惩戒措施。</w:t>
      </w:r>
    </w:p>
    <w:p>
      <w:pPr>
        <w:spacing w:line="540" w:lineRule="exact"/>
        <w:ind w:firstLine="641"/>
        <w:rPr>
          <w:rFonts w:ascii="仿宋_GB2312" w:hAnsi="宋体" w:eastAsia="仿宋_GB2312"/>
          <w:color w:val="000000"/>
          <w:sz w:val="32"/>
          <w:szCs w:val="32"/>
        </w:rPr>
      </w:pPr>
    </w:p>
    <w:p>
      <w:pPr>
        <w:wordWrap w:val="0"/>
        <w:spacing w:line="540" w:lineRule="exact"/>
        <w:ind w:right="160"/>
        <w:jc w:val="right"/>
        <w:rPr>
          <w:rFonts w:ascii="仿宋_GB2312" w:hAnsi="宋体" w:eastAsia="仿宋_GB2312"/>
          <w:color w:val="000000"/>
          <w:sz w:val="32"/>
          <w:szCs w:val="32"/>
        </w:rPr>
      </w:pPr>
      <w:r>
        <w:rPr>
          <w:rFonts w:hint="eastAsia" w:ascii="仿宋_GB2312" w:hAnsi="宋体" w:eastAsia="仿宋_GB2312"/>
          <w:color w:val="000000"/>
          <w:sz w:val="32"/>
          <w:szCs w:val="32"/>
        </w:rPr>
        <w:t xml:space="preserve">承诺单位（盖章）：       </w:t>
      </w:r>
    </w:p>
    <w:p>
      <w:pPr>
        <w:wordWrap w:val="0"/>
        <w:spacing w:line="540" w:lineRule="exact"/>
        <w:jc w:val="right"/>
        <w:rPr>
          <w:rFonts w:ascii="仿宋_GB2312" w:hAnsi="宋体" w:eastAsia="仿宋_GB2312"/>
          <w:color w:val="000000"/>
          <w:sz w:val="32"/>
          <w:szCs w:val="32"/>
        </w:rPr>
      </w:pPr>
      <w:r>
        <w:rPr>
          <w:rFonts w:hint="eastAsia" w:ascii="仿宋_GB2312" w:hAnsi="宋体" w:eastAsia="仿宋_GB2312"/>
          <w:color w:val="000000"/>
          <w:sz w:val="32"/>
          <w:szCs w:val="32"/>
        </w:rPr>
        <w:t xml:space="preserve">法定代表人（签字）：        </w:t>
      </w:r>
    </w:p>
    <w:p>
      <w:pPr>
        <w:wordWrap w:val="0"/>
        <w:spacing w:line="540" w:lineRule="exact"/>
        <w:jc w:val="right"/>
      </w:pPr>
      <w:r>
        <w:rPr>
          <w:rFonts w:hint="eastAsia" w:ascii="仿宋_GB2312" w:hAnsi="宋体" w:eastAsia="仿宋_GB2312"/>
          <w:color w:val="000000"/>
          <w:sz w:val="32"/>
          <w:szCs w:val="32"/>
        </w:rPr>
        <w:t xml:space="preserve"> 承诺时间：        </w:t>
      </w:r>
    </w:p>
    <w:sectPr>
      <w:pgSz w:w="11906" w:h="16838"/>
      <w:pgMar w:top="1814" w:right="1474"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7"/>
        </w:rPr>
        <w:footnoteRef/>
      </w:r>
      <w:r>
        <w:t xml:space="preserve"> </w:t>
      </w:r>
      <w:r>
        <w:rPr>
          <w:rFonts w:hint="eastAsia" w:ascii="仿宋_GB2312" w:hAnsi="宋体" w:eastAsia="仿宋_GB2312"/>
          <w:color w:val="000000"/>
          <w:sz w:val="22"/>
          <w:szCs w:val="32"/>
        </w:rPr>
        <w:t>四大行业指钢铁、煤炭、有色、建材。</w:t>
      </w:r>
    </w:p>
  </w:footnote>
  <w:footnote w:id="1">
    <w:p>
      <w:pPr>
        <w:pStyle w:val="5"/>
      </w:pPr>
      <w:r>
        <w:rPr>
          <w:rStyle w:val="7"/>
        </w:rPr>
        <w:footnoteRef/>
      </w:r>
      <w:r>
        <w:rPr>
          <w:rFonts w:hint="eastAsia" w:ascii="仿宋_GB2312" w:hAnsi="宋体" w:eastAsia="仿宋_GB2312"/>
          <w:color w:val="000000"/>
          <w:sz w:val="22"/>
          <w:szCs w:val="32"/>
        </w:rPr>
        <w:t xml:space="preserve"> 在方框内勾选行业分类，并填写对应户号，可多选。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A23CB"/>
    <w:multiLevelType w:val="singleLevel"/>
    <w:tmpl w:val="B16A23CB"/>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A5"/>
    <w:rsid w:val="00023E57"/>
    <w:rsid w:val="000B7E69"/>
    <w:rsid w:val="001625E4"/>
    <w:rsid w:val="002E5D7C"/>
    <w:rsid w:val="00467144"/>
    <w:rsid w:val="004C549F"/>
    <w:rsid w:val="005C08E5"/>
    <w:rsid w:val="005C1359"/>
    <w:rsid w:val="007A3D08"/>
    <w:rsid w:val="007E3AA5"/>
    <w:rsid w:val="00815B4D"/>
    <w:rsid w:val="008A7A4E"/>
    <w:rsid w:val="00F95E28"/>
    <w:rsid w:val="0FD07290"/>
    <w:rsid w:val="2A93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9"/>
    <w:uiPriority w:val="0"/>
    <w:pPr>
      <w:snapToGrid w:val="0"/>
      <w:jc w:val="left"/>
    </w:pPr>
    <w:rPr>
      <w:rFonts w:ascii="Times New Roman" w:hAnsi="Times New Roman"/>
      <w:sz w:val="18"/>
      <w:szCs w:val="18"/>
    </w:rPr>
  </w:style>
  <w:style w:type="character" w:styleId="7">
    <w:name w:val="footnote reference"/>
    <w:qFormat/>
    <w:uiPriority w:val="0"/>
    <w:rPr>
      <w:vertAlign w:val="superscript"/>
    </w:rPr>
  </w:style>
  <w:style w:type="character" w:customStyle="1" w:styleId="9">
    <w:name w:val="脚注文本 Char"/>
    <w:basedOn w:val="6"/>
    <w:link w:val="5"/>
    <w:uiPriority w:val="0"/>
    <w:rPr>
      <w:rFonts w:ascii="Times New Roman" w:hAnsi="Times New Roman" w:eastAsia="宋体" w:cs="Times New Roman"/>
      <w:sz w:val="18"/>
      <w:szCs w:val="18"/>
    </w:rPr>
  </w:style>
  <w:style w:type="character" w:customStyle="1" w:styleId="10">
    <w:name w:val="页眉 Char"/>
    <w:basedOn w:val="6"/>
    <w:link w:val="4"/>
    <w:uiPriority w:val="99"/>
    <w:rPr>
      <w:rFonts w:ascii="Calibri" w:hAnsi="Calibri" w:eastAsia="宋体" w:cs="Times New Roman"/>
      <w:kern w:val="2"/>
      <w:sz w:val="18"/>
      <w:szCs w:val="18"/>
    </w:rPr>
  </w:style>
  <w:style w:type="character" w:customStyle="1" w:styleId="11">
    <w:name w:val="页脚 Char"/>
    <w:basedOn w:val="6"/>
    <w:link w:val="3"/>
    <w:uiPriority w:val="99"/>
    <w:rPr>
      <w:rFonts w:ascii="Calibri" w:hAnsi="Calibri" w:eastAsia="宋体" w:cs="Times New Roman"/>
      <w:kern w:val="2"/>
      <w:sz w:val="18"/>
      <w:szCs w:val="18"/>
    </w:rPr>
  </w:style>
  <w:style w:type="character" w:customStyle="1" w:styleId="12">
    <w:name w:val="批注框文本 Char"/>
    <w:basedOn w:val="6"/>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770B9-3222-411B-8CBD-B60FE3770F0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374</Words>
  <Characters>2135</Characters>
  <Lines>17</Lines>
  <Paragraphs>5</Paragraphs>
  <TotalTime>39</TotalTime>
  <ScaleCrop>false</ScaleCrop>
  <LinksUpToDate>false</LinksUpToDate>
  <CharactersWithSpaces>2504</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2018-10-25T06:43:00Z</dcterms:created>
  <dc:creator>王乔松</dc:creator>
  <cp:lastModifiedBy>Administrator</cp:lastModifiedBy>
  <cp:lastPrinted>2018-10-30T07:45:00Z</cp:lastPrinted>
  <dcterms:modified xsi:type="dcterms:W3CDTF">2018-11-01T00:11:31Z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